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B2" w:rsidRDefault="009C15B2" w:rsidP="00210F72">
      <w:pPr>
        <w:jc w:val="both"/>
        <w:rPr>
          <w:rFonts w:asciiTheme="majorHAnsi" w:hAnsiTheme="majorHAnsi" w:cs="Times New Roman"/>
          <w:b/>
          <w:sz w:val="24"/>
          <w:lang w:val="es-ES"/>
        </w:rPr>
      </w:pPr>
      <w:r>
        <w:rPr>
          <w:rFonts w:asciiTheme="majorHAnsi" w:hAnsiTheme="majorHAnsi" w:cs="Times New Roman"/>
          <w:b/>
          <w:sz w:val="24"/>
          <w:lang w:val="es-ES"/>
        </w:rPr>
        <w:t xml:space="preserve">Puedes encontrar más informes acerca de la situación de la mujer en la India en: </w:t>
      </w:r>
      <w:hyperlink r:id="rId4" w:history="1">
        <w:r w:rsidRPr="0064318A">
          <w:rPr>
            <w:rStyle w:val="Hipervnculo"/>
            <w:rFonts w:asciiTheme="majorHAnsi" w:hAnsiTheme="majorHAnsi" w:cs="Times New Roman"/>
            <w:b/>
            <w:sz w:val="24"/>
            <w:lang w:val="es-ES"/>
          </w:rPr>
          <w:t>https://www.icrw.org/publications/?searchQuery=india</w:t>
        </w:r>
      </w:hyperlink>
      <w:r>
        <w:rPr>
          <w:rFonts w:asciiTheme="majorHAnsi" w:hAnsiTheme="majorHAnsi" w:cs="Times New Roman"/>
          <w:b/>
          <w:sz w:val="24"/>
          <w:lang w:val="es-ES"/>
        </w:rPr>
        <w:t xml:space="preserve"> </w:t>
      </w:r>
    </w:p>
    <w:p w:rsidR="00210F72" w:rsidRPr="00FF3F02" w:rsidRDefault="00210F72" w:rsidP="00210F72">
      <w:pPr>
        <w:jc w:val="both"/>
        <w:rPr>
          <w:rFonts w:asciiTheme="majorHAnsi" w:hAnsiTheme="majorHAnsi" w:cs="Times New Roman"/>
          <w:b/>
          <w:sz w:val="24"/>
          <w:lang w:val="es-ES"/>
        </w:rPr>
      </w:pPr>
      <w:r w:rsidRPr="00FF3F02">
        <w:rPr>
          <w:rFonts w:asciiTheme="majorHAnsi" w:hAnsiTheme="majorHAnsi" w:cs="Times New Roman"/>
          <w:b/>
          <w:sz w:val="24"/>
          <w:lang w:val="es-ES"/>
        </w:rPr>
        <w:t xml:space="preserve">Datos encontrados en el artículo </w:t>
      </w:r>
      <w:hyperlink r:id="rId5" w:history="1">
        <w:r w:rsidRPr="00FF3F02">
          <w:rPr>
            <w:rStyle w:val="Hipervnculo"/>
            <w:rFonts w:asciiTheme="majorHAnsi" w:hAnsiTheme="majorHAnsi" w:cs="Times New Roman"/>
            <w:b/>
            <w:sz w:val="24"/>
            <w:lang w:val="es-ES"/>
          </w:rPr>
          <w:t>Informe_Mundial_Sobre_Violencia.pdf</w:t>
        </w:r>
      </w:hyperlink>
    </w:p>
    <w:p w:rsidR="00547F46" w:rsidRDefault="00210F72" w:rsidP="00210F72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sz w:val="24"/>
          <w:lang w:val="es-ES"/>
        </w:rPr>
        <w:t xml:space="preserve">(Pág. 55): </w:t>
      </w:r>
      <w:r w:rsidRPr="00210F72">
        <w:rPr>
          <w:rFonts w:asciiTheme="majorHAnsi" w:hAnsiTheme="majorHAnsi" w:cs="Times New Roman"/>
          <w:sz w:val="24"/>
          <w:lang w:val="es-ES"/>
        </w:rPr>
        <w:t xml:space="preserve">Un estudio en la India, que entrevistó a mil mujeres sobre los resultados de sus embarazos, halló que el 41% de las muertes neonatales tempranas femeninas se deben al </w:t>
      </w:r>
      <w:r w:rsidRPr="00210F72">
        <w:rPr>
          <w:rFonts w:asciiTheme="majorHAnsi" w:hAnsiTheme="majorHAnsi" w:cs="Times New Roman"/>
          <w:b/>
          <w:sz w:val="24"/>
          <w:lang w:val="es-ES"/>
        </w:rPr>
        <w:t>infanticidio</w:t>
      </w:r>
      <w:r w:rsidRPr="00210F72">
        <w:rPr>
          <w:rFonts w:asciiTheme="majorHAnsi" w:hAnsiTheme="majorHAnsi" w:cs="Times New Roman"/>
          <w:sz w:val="24"/>
          <w:lang w:val="es-ES"/>
        </w:rPr>
        <w:t>. Aunque la práctica aparentemente no está limitada a la India, un estudio en Tamil Nadu calculó que entre un 8% y un 10% de las muertes infantiles en 1995 podrían haberse deb</w:t>
      </w:r>
      <w:r>
        <w:rPr>
          <w:rFonts w:asciiTheme="majorHAnsi" w:hAnsiTheme="majorHAnsi" w:cs="Times New Roman"/>
          <w:sz w:val="24"/>
          <w:lang w:val="es-ES"/>
        </w:rPr>
        <w:t xml:space="preserve">ido al </w:t>
      </w:r>
      <w:r w:rsidRPr="00210F72">
        <w:rPr>
          <w:rFonts w:asciiTheme="majorHAnsi" w:hAnsiTheme="majorHAnsi" w:cs="Times New Roman"/>
          <w:b/>
          <w:sz w:val="24"/>
          <w:lang w:val="es-ES"/>
        </w:rPr>
        <w:t>infanticidio femenino</w:t>
      </w:r>
      <w:r>
        <w:rPr>
          <w:rFonts w:asciiTheme="majorHAnsi" w:hAnsiTheme="majorHAnsi" w:cs="Times New Roman"/>
          <w:sz w:val="24"/>
          <w:lang w:val="es-ES"/>
        </w:rPr>
        <w:t xml:space="preserve">. </w:t>
      </w:r>
    </w:p>
    <w:p w:rsidR="00210F72" w:rsidRDefault="00210F72" w:rsidP="00210F72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sz w:val="24"/>
          <w:lang w:val="es-ES"/>
        </w:rPr>
        <w:t xml:space="preserve">(Pág. 57): </w:t>
      </w:r>
      <w:r w:rsidRPr="00210F72">
        <w:rPr>
          <w:rFonts w:asciiTheme="majorHAnsi" w:hAnsiTheme="majorHAnsi" w:cs="Times New Roman"/>
          <w:b/>
          <w:sz w:val="24"/>
          <w:lang w:val="es-ES"/>
        </w:rPr>
        <w:t>Trato negligente</w:t>
      </w:r>
      <w:r w:rsidRPr="00210F72">
        <w:rPr>
          <w:rFonts w:asciiTheme="majorHAnsi" w:hAnsiTheme="majorHAnsi" w:cs="Times New Roman"/>
          <w:sz w:val="24"/>
          <w:lang w:val="es-ES"/>
        </w:rPr>
        <w:t xml:space="preserve"> (o descuido) significa que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los progenitores o encargados del cuidado no cumplen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las necesidades físicas y emocionales de un niño o niña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cuando tienen los medios, el conocimiento y el acceso a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servicios para hacerlo o que no lo protegen de la exposición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al peligro.</w:t>
      </w:r>
      <w:r>
        <w:rPr>
          <w:rFonts w:asciiTheme="majorHAnsi" w:hAnsiTheme="majorHAnsi" w:cs="Times New Roman"/>
          <w:sz w:val="24"/>
          <w:lang w:val="es-ES"/>
        </w:rPr>
        <w:t xml:space="preserve"> […]</w:t>
      </w:r>
      <w:r w:rsidRPr="00210F72">
        <w:rPr>
          <w:rFonts w:asciiTheme="majorHAnsi" w:hAnsiTheme="majorHAnsi" w:cs="Times New Roman"/>
          <w:sz w:val="24"/>
          <w:lang w:val="es-ES"/>
        </w:rPr>
        <w:t>Las investigaciones llevadas a cabo en la India acerca de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las diferencias de género en el trato negligente, sugieren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que las niñas sufren relativamente más descuido que los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niños durante toda la primera infancia. Son amamantadas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con menos frecuencia que los niños y por menos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tiempo; una vez destetadas se les proporciona alimento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de meno</w:t>
      </w:r>
      <w:r>
        <w:rPr>
          <w:rFonts w:asciiTheme="majorHAnsi" w:hAnsiTheme="majorHAnsi" w:cs="Times New Roman"/>
          <w:sz w:val="24"/>
          <w:lang w:val="es-ES"/>
        </w:rPr>
        <w:t>r calidad y en menor cantidad.</w:t>
      </w:r>
      <w:r w:rsidRPr="00210F72">
        <w:rPr>
          <w:rFonts w:asciiTheme="majorHAnsi" w:hAnsiTheme="majorHAnsi" w:cs="Times New Roman"/>
          <w:sz w:val="24"/>
          <w:lang w:val="es-ES"/>
        </w:rPr>
        <w:t xml:space="preserve"> Además son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210F72">
        <w:rPr>
          <w:rFonts w:asciiTheme="majorHAnsi" w:hAnsiTheme="majorHAnsi" w:cs="Times New Roman"/>
          <w:sz w:val="24"/>
          <w:lang w:val="es-ES"/>
        </w:rPr>
        <w:t>llevadas con menor frecue</w:t>
      </w:r>
      <w:r>
        <w:rPr>
          <w:rFonts w:asciiTheme="majorHAnsi" w:hAnsiTheme="majorHAnsi" w:cs="Times New Roman"/>
          <w:sz w:val="24"/>
          <w:lang w:val="es-ES"/>
        </w:rPr>
        <w:t>ncia a los servicios de salud.</w:t>
      </w:r>
    </w:p>
    <w:p w:rsidR="00C028D6" w:rsidRDefault="00C028D6" w:rsidP="00C028D6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sz w:val="24"/>
          <w:lang w:val="es-ES"/>
        </w:rPr>
        <w:t xml:space="preserve">(Pág. 61): </w:t>
      </w:r>
      <w:r w:rsidRPr="00C028D6">
        <w:rPr>
          <w:rFonts w:asciiTheme="majorHAnsi" w:hAnsiTheme="majorHAnsi" w:cs="Times New Roman"/>
          <w:sz w:val="24"/>
          <w:lang w:val="es-ES"/>
        </w:rPr>
        <w:t>Las niñas casadas experimentan importantes niveles de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C028D6">
        <w:rPr>
          <w:rFonts w:asciiTheme="majorHAnsi" w:hAnsiTheme="majorHAnsi" w:cs="Times New Roman"/>
          <w:sz w:val="24"/>
          <w:lang w:val="es-ES"/>
        </w:rPr>
        <w:t>violencia por parte de sus esposos. Un análisis reciente de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C028D6">
        <w:rPr>
          <w:rFonts w:asciiTheme="majorHAnsi" w:hAnsiTheme="majorHAnsi" w:cs="Times New Roman"/>
          <w:sz w:val="24"/>
          <w:lang w:val="es-ES"/>
        </w:rPr>
        <w:t>datos de encuestas de demografía y salud (DHS) mostró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C028D6">
        <w:rPr>
          <w:rFonts w:asciiTheme="majorHAnsi" w:hAnsiTheme="majorHAnsi" w:cs="Times New Roman"/>
          <w:sz w:val="24"/>
          <w:lang w:val="es-ES"/>
        </w:rPr>
        <w:t xml:space="preserve">que el </w:t>
      </w:r>
      <w:r>
        <w:rPr>
          <w:rFonts w:asciiTheme="majorHAnsi" w:hAnsiTheme="majorHAnsi" w:cs="Times New Roman"/>
          <w:sz w:val="24"/>
          <w:lang w:val="es-ES"/>
        </w:rPr>
        <w:t>10,</w:t>
      </w:r>
      <w:r w:rsidRPr="00C028D6">
        <w:rPr>
          <w:rFonts w:asciiTheme="majorHAnsi" w:hAnsiTheme="majorHAnsi" w:cs="Times New Roman"/>
          <w:sz w:val="24"/>
          <w:lang w:val="es-ES"/>
        </w:rPr>
        <w:t>4% de las niñas de entre 15 y 19 años en</w:t>
      </w:r>
      <w:r>
        <w:rPr>
          <w:rFonts w:asciiTheme="majorHAnsi" w:hAnsiTheme="majorHAnsi" w:cs="Times New Roman"/>
          <w:sz w:val="24"/>
          <w:lang w:val="es-ES"/>
        </w:rPr>
        <w:t xml:space="preserve"> la India </w:t>
      </w:r>
      <w:r w:rsidRPr="00C028D6">
        <w:rPr>
          <w:rFonts w:asciiTheme="majorHAnsi" w:hAnsiTheme="majorHAnsi" w:cs="Times New Roman"/>
          <w:sz w:val="24"/>
          <w:lang w:val="es-ES"/>
        </w:rPr>
        <w:t xml:space="preserve">habían sufrido </w:t>
      </w:r>
      <w:r w:rsidRPr="00C028D6">
        <w:rPr>
          <w:rFonts w:asciiTheme="majorHAnsi" w:hAnsiTheme="majorHAnsi" w:cs="Times New Roman"/>
          <w:b/>
          <w:sz w:val="24"/>
          <w:lang w:val="es-ES"/>
        </w:rPr>
        <w:t>violencia conyugal</w:t>
      </w:r>
      <w:r w:rsidRPr="00C028D6">
        <w:rPr>
          <w:rFonts w:asciiTheme="majorHAnsi" w:hAnsiTheme="majorHAnsi" w:cs="Times New Roman"/>
          <w:sz w:val="24"/>
          <w:lang w:val="es-ES"/>
        </w:rPr>
        <w:t xml:space="preserve"> en los doce meses precedentes.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C028D6">
        <w:rPr>
          <w:rFonts w:asciiTheme="majorHAnsi" w:hAnsiTheme="majorHAnsi" w:cs="Times New Roman"/>
          <w:sz w:val="24"/>
          <w:lang w:val="es-ES"/>
        </w:rPr>
        <w:t>Un estudio de la India reveló que, entre las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C028D6">
        <w:rPr>
          <w:rFonts w:asciiTheme="majorHAnsi" w:hAnsiTheme="majorHAnsi" w:cs="Times New Roman"/>
          <w:sz w:val="24"/>
          <w:lang w:val="es-ES"/>
        </w:rPr>
        <w:t>mujeres que decían haber sufrido violencia física y hostigamiento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C028D6">
        <w:rPr>
          <w:rFonts w:asciiTheme="majorHAnsi" w:hAnsiTheme="majorHAnsi" w:cs="Times New Roman"/>
          <w:sz w:val="24"/>
          <w:lang w:val="es-ES"/>
        </w:rPr>
        <w:t>debido a insatisfacción con la dote, el miembro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C028D6">
        <w:rPr>
          <w:rFonts w:asciiTheme="majorHAnsi" w:hAnsiTheme="majorHAnsi" w:cs="Times New Roman"/>
          <w:sz w:val="24"/>
          <w:lang w:val="es-ES"/>
        </w:rPr>
        <w:t>de la familia que hostigaba con mayor frecuencia era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C028D6">
        <w:rPr>
          <w:rFonts w:asciiTheme="majorHAnsi" w:hAnsiTheme="majorHAnsi" w:cs="Times New Roman"/>
          <w:sz w:val="24"/>
          <w:lang w:val="es-ES"/>
        </w:rPr>
        <w:t>la suegra (95%), seguida del esposo y el suegro (72%</w:t>
      </w:r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C028D6">
        <w:rPr>
          <w:rFonts w:asciiTheme="majorHAnsi" w:hAnsiTheme="majorHAnsi" w:cs="Times New Roman"/>
          <w:sz w:val="24"/>
          <w:lang w:val="es-ES"/>
        </w:rPr>
        <w:t>cada uno), la cuñada (49%) y el cuñado (14%)</w:t>
      </w:r>
      <w:r>
        <w:rPr>
          <w:rFonts w:asciiTheme="majorHAnsi" w:hAnsiTheme="majorHAnsi" w:cs="Times New Roman"/>
          <w:sz w:val="24"/>
          <w:lang w:val="es-ES"/>
        </w:rPr>
        <w:t>.</w:t>
      </w:r>
      <w:r w:rsidR="00C71245">
        <w:rPr>
          <w:rFonts w:asciiTheme="majorHAnsi" w:hAnsiTheme="majorHAnsi" w:cs="Times New Roman"/>
          <w:sz w:val="24"/>
          <w:lang w:val="es-ES"/>
        </w:rPr>
        <w:t xml:space="preserve"> </w:t>
      </w:r>
    </w:p>
    <w:p w:rsidR="002155F8" w:rsidRDefault="002155F8" w:rsidP="00C028D6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sz w:val="24"/>
          <w:lang w:val="es-ES"/>
        </w:rPr>
        <w:t xml:space="preserve">(Pág. 62): </w:t>
      </w:r>
      <w:r w:rsidRPr="00121034">
        <w:rPr>
          <w:rFonts w:asciiTheme="majorHAnsi" w:hAnsiTheme="majorHAnsi" w:cs="Times New Roman"/>
          <w:b/>
          <w:sz w:val="24"/>
          <w:lang w:val="es-ES"/>
        </w:rPr>
        <w:t>Porcentaje de mujeres casadas a la edad de 18 años</w:t>
      </w:r>
      <w:r>
        <w:rPr>
          <w:rFonts w:asciiTheme="majorHAnsi" w:hAnsiTheme="majorHAnsi" w:cs="Times New Roman"/>
          <w:sz w:val="24"/>
          <w:lang w:val="es-ES"/>
        </w:rPr>
        <w:t>:</w:t>
      </w:r>
      <w:r w:rsidR="00A3273A">
        <w:rPr>
          <w:rFonts w:asciiTheme="majorHAnsi" w:hAnsiTheme="majorHAnsi" w:cs="Times New Roman"/>
          <w:sz w:val="24"/>
          <w:lang w:val="es-ES"/>
        </w:rPr>
        <w:t xml:space="preserve"> India </w:t>
      </w:r>
      <w:r w:rsidR="00A3273A" w:rsidRPr="00A3273A">
        <w:rPr>
          <w:rFonts w:asciiTheme="majorHAnsi" w:hAnsiTheme="majorHAnsi" w:cs="Times New Roman"/>
          <w:sz w:val="24"/>
          <w:lang w:val="es-ES"/>
        </w:rPr>
        <w:sym w:font="Wingdings" w:char="F0E0"/>
      </w:r>
      <w:r w:rsidR="00A3273A">
        <w:rPr>
          <w:rFonts w:asciiTheme="majorHAnsi" w:hAnsiTheme="majorHAnsi" w:cs="Times New Roman"/>
          <w:sz w:val="24"/>
          <w:lang w:val="es-ES"/>
        </w:rPr>
        <w:t xml:space="preserve"> 46%. Fuente: Unicef (1996-2003).</w:t>
      </w:r>
    </w:p>
    <w:p w:rsidR="00A3273A" w:rsidRDefault="00A3273A" w:rsidP="00C028D6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sz w:val="24"/>
          <w:lang w:val="es-ES"/>
        </w:rPr>
        <w:t>[…] No añado más información. Los datos son de 2004.</w:t>
      </w:r>
    </w:p>
    <w:p w:rsidR="00A3273A" w:rsidRPr="00FF3F02" w:rsidRDefault="00FF3F02" w:rsidP="00C028D6">
      <w:pPr>
        <w:jc w:val="both"/>
        <w:rPr>
          <w:rFonts w:asciiTheme="majorHAnsi" w:hAnsiTheme="majorHAnsi" w:cs="Times New Roman"/>
          <w:b/>
          <w:sz w:val="24"/>
          <w:lang w:val="es-ES"/>
        </w:rPr>
      </w:pPr>
      <w:r w:rsidRPr="00FF3F02">
        <w:rPr>
          <w:rFonts w:asciiTheme="majorHAnsi" w:hAnsiTheme="majorHAnsi" w:cs="Times New Roman"/>
          <w:b/>
          <w:sz w:val="24"/>
          <w:lang w:val="es-ES"/>
        </w:rPr>
        <w:t xml:space="preserve">Algunos datos genéricos en </w:t>
      </w:r>
      <w:hyperlink r:id="rId6" w:history="1">
        <w:r w:rsidRPr="00FF3F02">
          <w:rPr>
            <w:rStyle w:val="Hipervnculo"/>
            <w:rFonts w:asciiTheme="majorHAnsi" w:hAnsiTheme="majorHAnsi" w:cs="Times New Roman"/>
            <w:b/>
            <w:sz w:val="24"/>
            <w:lang w:val="es-ES"/>
          </w:rPr>
          <w:t>Los derechos de la infancia en la India - Unicef.pdf</w:t>
        </w:r>
      </w:hyperlink>
    </w:p>
    <w:p w:rsidR="00FF3F02" w:rsidRDefault="00440C1F" w:rsidP="00C028D6">
      <w:pPr>
        <w:jc w:val="both"/>
        <w:rPr>
          <w:rFonts w:asciiTheme="majorHAnsi" w:hAnsiTheme="majorHAnsi" w:cs="Times New Roman"/>
          <w:b/>
          <w:sz w:val="24"/>
          <w:lang w:val="es-ES"/>
        </w:rPr>
      </w:pPr>
      <w:r w:rsidRPr="00FF3F02">
        <w:rPr>
          <w:rFonts w:asciiTheme="majorHAnsi" w:hAnsiTheme="majorHAnsi" w:cs="Times New Roman"/>
          <w:b/>
          <w:sz w:val="24"/>
          <w:lang w:val="es-ES"/>
        </w:rPr>
        <w:t>Algunos datos genéricos en</w:t>
      </w:r>
      <w:r>
        <w:rPr>
          <w:rFonts w:asciiTheme="majorHAnsi" w:hAnsiTheme="majorHAnsi" w:cs="Times New Roman"/>
          <w:b/>
          <w:sz w:val="24"/>
          <w:lang w:val="es-ES"/>
        </w:rPr>
        <w:t xml:space="preserve"> </w:t>
      </w:r>
      <w:hyperlink r:id="rId7" w:history="1">
        <w:r w:rsidRPr="00440C1F">
          <w:rPr>
            <w:rStyle w:val="Hipervnculo"/>
            <w:rFonts w:asciiTheme="majorHAnsi" w:hAnsiTheme="majorHAnsi" w:cs="Times New Roman"/>
            <w:b/>
            <w:sz w:val="24"/>
            <w:lang w:val="es-ES"/>
          </w:rPr>
          <w:t>contexto_mujeres_desigualdades_de_genero_en_la_india.pdf</w:t>
        </w:r>
      </w:hyperlink>
    </w:p>
    <w:p w:rsidR="00440C1F" w:rsidRPr="00903814" w:rsidRDefault="00BB3799" w:rsidP="00C028D6">
      <w:pPr>
        <w:jc w:val="both"/>
        <w:rPr>
          <w:rFonts w:asciiTheme="majorHAnsi" w:hAnsiTheme="majorHAnsi" w:cs="Times New Roman"/>
          <w:b/>
          <w:sz w:val="24"/>
          <w:lang w:val="en-US"/>
        </w:rPr>
      </w:pPr>
      <w:proofErr w:type="spellStart"/>
      <w:r w:rsidRPr="00903814">
        <w:rPr>
          <w:rFonts w:asciiTheme="majorHAnsi" w:hAnsiTheme="majorHAnsi" w:cs="Times New Roman"/>
          <w:b/>
          <w:sz w:val="24"/>
          <w:lang w:val="en-US"/>
        </w:rPr>
        <w:t>Datos</w:t>
      </w:r>
      <w:proofErr w:type="spellEnd"/>
      <w:r w:rsidRPr="00903814">
        <w:rPr>
          <w:rFonts w:asciiTheme="majorHAnsi" w:hAnsiTheme="majorHAnsi" w:cs="Times New Roman"/>
          <w:b/>
          <w:sz w:val="24"/>
          <w:lang w:val="en-US"/>
        </w:rPr>
        <w:t xml:space="preserve"> </w:t>
      </w:r>
      <w:proofErr w:type="spellStart"/>
      <w:r w:rsidRPr="00903814">
        <w:rPr>
          <w:rFonts w:asciiTheme="majorHAnsi" w:hAnsiTheme="majorHAnsi" w:cs="Times New Roman"/>
          <w:b/>
          <w:sz w:val="24"/>
          <w:lang w:val="en-US"/>
        </w:rPr>
        <w:t>muy</w:t>
      </w:r>
      <w:proofErr w:type="spellEnd"/>
      <w:r w:rsidRPr="00903814">
        <w:rPr>
          <w:rFonts w:asciiTheme="majorHAnsi" w:hAnsiTheme="majorHAnsi" w:cs="Times New Roman"/>
          <w:b/>
          <w:sz w:val="24"/>
          <w:lang w:val="en-US"/>
        </w:rPr>
        <w:t xml:space="preserve"> </w:t>
      </w:r>
      <w:proofErr w:type="spellStart"/>
      <w:r w:rsidRPr="00903814">
        <w:rPr>
          <w:rFonts w:asciiTheme="majorHAnsi" w:hAnsiTheme="majorHAnsi" w:cs="Times New Roman"/>
          <w:b/>
          <w:sz w:val="24"/>
          <w:lang w:val="en-US"/>
        </w:rPr>
        <w:t>importantes</w:t>
      </w:r>
      <w:proofErr w:type="spellEnd"/>
      <w:r w:rsidRPr="00903814">
        <w:rPr>
          <w:rFonts w:asciiTheme="majorHAnsi" w:hAnsiTheme="majorHAnsi" w:cs="Times New Roman"/>
          <w:b/>
          <w:sz w:val="24"/>
          <w:lang w:val="en-US"/>
        </w:rPr>
        <w:t xml:space="preserve"> </w:t>
      </w:r>
      <w:proofErr w:type="spellStart"/>
      <w:r w:rsidRPr="00903814">
        <w:rPr>
          <w:rFonts w:asciiTheme="majorHAnsi" w:hAnsiTheme="majorHAnsi" w:cs="Times New Roman"/>
          <w:b/>
          <w:sz w:val="24"/>
          <w:lang w:val="en-US"/>
        </w:rPr>
        <w:t>acerca</w:t>
      </w:r>
      <w:proofErr w:type="spellEnd"/>
      <w:r w:rsidRPr="00903814">
        <w:rPr>
          <w:rFonts w:asciiTheme="majorHAnsi" w:hAnsiTheme="majorHAnsi" w:cs="Times New Roman"/>
          <w:b/>
          <w:sz w:val="24"/>
          <w:lang w:val="en-US"/>
        </w:rPr>
        <w:t xml:space="preserve"> </w:t>
      </w:r>
      <w:proofErr w:type="gramStart"/>
      <w:r w:rsidRPr="00903814">
        <w:rPr>
          <w:rFonts w:asciiTheme="majorHAnsi" w:hAnsiTheme="majorHAnsi" w:cs="Times New Roman"/>
          <w:b/>
          <w:sz w:val="24"/>
          <w:lang w:val="en-US"/>
        </w:rPr>
        <w:t>del</w:t>
      </w:r>
      <w:proofErr w:type="gramEnd"/>
      <w:r w:rsidRPr="00903814">
        <w:rPr>
          <w:rFonts w:asciiTheme="majorHAnsi" w:hAnsiTheme="majorHAnsi" w:cs="Times New Roman"/>
          <w:b/>
          <w:sz w:val="24"/>
          <w:lang w:val="en-US"/>
        </w:rPr>
        <w:t xml:space="preserve"> </w:t>
      </w:r>
      <w:proofErr w:type="spellStart"/>
      <w:r w:rsidRPr="00903814">
        <w:rPr>
          <w:rFonts w:asciiTheme="majorHAnsi" w:hAnsiTheme="majorHAnsi" w:cs="Times New Roman"/>
          <w:b/>
          <w:sz w:val="24"/>
          <w:lang w:val="en-US"/>
        </w:rPr>
        <w:t>matrimonio</w:t>
      </w:r>
      <w:proofErr w:type="spellEnd"/>
      <w:r w:rsidRPr="00903814">
        <w:rPr>
          <w:rFonts w:asciiTheme="majorHAnsi" w:hAnsiTheme="majorHAnsi" w:cs="Times New Roman"/>
          <w:b/>
          <w:sz w:val="24"/>
          <w:lang w:val="en-US"/>
        </w:rPr>
        <w:t xml:space="preserve"> </w:t>
      </w:r>
      <w:proofErr w:type="spellStart"/>
      <w:r w:rsidRPr="00903814">
        <w:rPr>
          <w:rFonts w:asciiTheme="majorHAnsi" w:hAnsiTheme="majorHAnsi" w:cs="Times New Roman"/>
          <w:b/>
          <w:sz w:val="24"/>
          <w:lang w:val="en-US"/>
        </w:rPr>
        <w:t>infantil</w:t>
      </w:r>
      <w:proofErr w:type="spellEnd"/>
      <w:r w:rsidRPr="00903814">
        <w:rPr>
          <w:rFonts w:asciiTheme="majorHAnsi" w:hAnsiTheme="majorHAnsi" w:cs="Times New Roman"/>
          <w:b/>
          <w:sz w:val="24"/>
          <w:lang w:val="en-US"/>
        </w:rPr>
        <w:t xml:space="preserve"> en </w:t>
      </w:r>
      <w:hyperlink r:id="rId8" w:history="1">
        <w:r w:rsidRPr="00903814">
          <w:rPr>
            <w:rStyle w:val="Hipervnculo"/>
            <w:rFonts w:asciiTheme="majorHAnsi" w:hAnsiTheme="majorHAnsi" w:cs="Times New Roman"/>
            <w:b/>
            <w:sz w:val="24"/>
            <w:lang w:val="en-US"/>
          </w:rPr>
          <w:t>IMPORTANT_District-level-study-on-Child-Marriage-in-India.pdf</w:t>
        </w:r>
      </w:hyperlink>
    </w:p>
    <w:p w:rsidR="008C2C98" w:rsidRDefault="008C2C98" w:rsidP="008C2C98">
      <w:pPr>
        <w:jc w:val="both"/>
        <w:rPr>
          <w:rFonts w:asciiTheme="majorHAnsi" w:hAnsiTheme="majorHAnsi" w:cs="Times New Roman"/>
          <w:sz w:val="24"/>
          <w:lang w:val="en-US"/>
        </w:rPr>
      </w:pPr>
      <w:r>
        <w:rPr>
          <w:rFonts w:asciiTheme="majorHAnsi" w:hAnsiTheme="majorHAnsi" w:cs="Times New Roman"/>
          <w:sz w:val="24"/>
          <w:lang w:val="en-US"/>
        </w:rPr>
        <w:lastRenderedPageBreak/>
        <w:t xml:space="preserve">(Page 13): </w:t>
      </w:r>
      <w:r w:rsidRPr="008C2C98">
        <w:rPr>
          <w:rFonts w:asciiTheme="majorHAnsi" w:hAnsiTheme="majorHAnsi" w:cs="Times New Roman"/>
          <w:sz w:val="24"/>
          <w:lang w:val="en-US"/>
        </w:rPr>
        <w:t xml:space="preserve">Only 12.2 percent of Indian women </w:t>
      </w:r>
      <w:r w:rsidRPr="00C75AF6">
        <w:rPr>
          <w:rFonts w:asciiTheme="majorHAnsi" w:hAnsiTheme="majorHAnsi" w:cs="Times New Roman"/>
          <w:b/>
          <w:sz w:val="24"/>
          <w:lang w:val="en-US"/>
        </w:rPr>
        <w:t>remain unmarried</w:t>
      </w:r>
      <w:r w:rsidRPr="008C2C98">
        <w:rPr>
          <w:rFonts w:asciiTheme="majorHAnsi" w:hAnsiTheme="majorHAnsi" w:cs="Times New Roman"/>
          <w:sz w:val="24"/>
          <w:lang w:val="en-US"/>
        </w:rPr>
        <w:t xml:space="preserve"> at the end of the</w:t>
      </w:r>
      <w:r>
        <w:rPr>
          <w:rFonts w:asciiTheme="majorHAnsi" w:hAnsiTheme="majorHAnsi" w:cs="Times New Roman"/>
          <w:sz w:val="24"/>
          <w:lang w:val="en-US"/>
        </w:rPr>
        <w:t xml:space="preserve"> </w:t>
      </w:r>
      <w:r w:rsidRPr="008C2C98">
        <w:rPr>
          <w:rFonts w:asciiTheme="majorHAnsi" w:hAnsiTheme="majorHAnsi" w:cs="Times New Roman"/>
          <w:sz w:val="24"/>
          <w:lang w:val="en-US"/>
        </w:rPr>
        <w:t>prime marrying years, broadly taken as 20-29 years, and 1.8 percent of Indian women remain unmarried by</w:t>
      </w:r>
      <w:r>
        <w:rPr>
          <w:rFonts w:asciiTheme="majorHAnsi" w:hAnsiTheme="majorHAnsi" w:cs="Times New Roman"/>
          <w:sz w:val="24"/>
          <w:lang w:val="en-US"/>
        </w:rPr>
        <w:t xml:space="preserve"> </w:t>
      </w:r>
      <w:r w:rsidRPr="008C2C98">
        <w:rPr>
          <w:rFonts w:asciiTheme="majorHAnsi" w:hAnsiTheme="majorHAnsi" w:cs="Times New Roman"/>
          <w:sz w:val="24"/>
          <w:lang w:val="en-US"/>
        </w:rPr>
        <w:t>the time they reach the age of 35 years (see Table 1)</w:t>
      </w:r>
      <w:r>
        <w:rPr>
          <w:rFonts w:asciiTheme="majorHAnsi" w:hAnsiTheme="majorHAnsi" w:cs="Times New Roman"/>
          <w:sz w:val="24"/>
          <w:lang w:val="en-US"/>
        </w:rPr>
        <w:t>.</w:t>
      </w:r>
    </w:p>
    <w:p w:rsidR="008C2C98" w:rsidRDefault="008C2C98" w:rsidP="008C2C98">
      <w:pPr>
        <w:jc w:val="both"/>
        <w:rPr>
          <w:rFonts w:asciiTheme="majorHAnsi" w:hAnsiTheme="majorHAnsi" w:cs="Times New Roman"/>
          <w:sz w:val="24"/>
          <w:lang w:val="en-US"/>
        </w:rPr>
      </w:pPr>
      <w:r>
        <w:rPr>
          <w:rFonts w:asciiTheme="majorHAnsi" w:hAnsiTheme="majorHAnsi" w:cs="Times New Roman"/>
          <w:sz w:val="24"/>
          <w:lang w:val="en-US"/>
        </w:rPr>
        <w:t xml:space="preserve">(Page 13): </w:t>
      </w:r>
      <w:r w:rsidRPr="008C2C98">
        <w:rPr>
          <w:rFonts w:asciiTheme="majorHAnsi" w:hAnsiTheme="majorHAnsi" w:cs="Times New Roman"/>
          <w:sz w:val="24"/>
          <w:lang w:val="en-US"/>
        </w:rPr>
        <w:t xml:space="preserve">Typically, Indian women are </w:t>
      </w:r>
      <w:r w:rsidRPr="00C75AF6">
        <w:rPr>
          <w:rFonts w:asciiTheme="majorHAnsi" w:hAnsiTheme="majorHAnsi" w:cs="Times New Roman"/>
          <w:b/>
          <w:sz w:val="24"/>
          <w:lang w:val="en-US"/>
        </w:rPr>
        <w:t>married before the age of 25</w:t>
      </w:r>
      <w:r w:rsidRPr="008C2C98">
        <w:rPr>
          <w:rFonts w:asciiTheme="majorHAnsi" w:hAnsiTheme="majorHAnsi" w:cs="Times New Roman"/>
          <w:sz w:val="24"/>
          <w:lang w:val="en-US"/>
        </w:rPr>
        <w:t xml:space="preserve"> years, with a tight clustering of marriage between</w:t>
      </w:r>
      <w:r>
        <w:rPr>
          <w:rFonts w:asciiTheme="majorHAnsi" w:hAnsiTheme="majorHAnsi" w:cs="Times New Roman"/>
          <w:sz w:val="24"/>
          <w:lang w:val="en-US"/>
        </w:rPr>
        <w:t xml:space="preserve"> </w:t>
      </w:r>
      <w:r w:rsidRPr="008C2C98">
        <w:rPr>
          <w:rFonts w:asciiTheme="majorHAnsi" w:hAnsiTheme="majorHAnsi" w:cs="Times New Roman"/>
          <w:sz w:val="24"/>
          <w:lang w:val="en-US"/>
        </w:rPr>
        <w:t xml:space="preserve">17 and 19 years (Desai &amp; </w:t>
      </w:r>
      <w:proofErr w:type="spellStart"/>
      <w:r w:rsidRPr="008C2C98">
        <w:rPr>
          <w:rFonts w:asciiTheme="majorHAnsi" w:hAnsiTheme="majorHAnsi" w:cs="Times New Roman"/>
          <w:sz w:val="24"/>
          <w:lang w:val="en-US"/>
        </w:rPr>
        <w:t>Andrist</w:t>
      </w:r>
      <w:proofErr w:type="spellEnd"/>
      <w:r w:rsidRPr="008C2C98">
        <w:rPr>
          <w:rFonts w:asciiTheme="majorHAnsi" w:hAnsiTheme="majorHAnsi" w:cs="Times New Roman"/>
          <w:sz w:val="24"/>
          <w:lang w:val="en-US"/>
        </w:rPr>
        <w:t>, 2010).</w:t>
      </w:r>
    </w:p>
    <w:p w:rsidR="00C75AF6" w:rsidRDefault="00C75AF6" w:rsidP="00C75AF6">
      <w:pPr>
        <w:jc w:val="both"/>
        <w:rPr>
          <w:rFonts w:asciiTheme="majorHAnsi" w:hAnsiTheme="majorHAnsi" w:cs="Times New Roman"/>
          <w:sz w:val="24"/>
          <w:lang w:val="en-US"/>
        </w:rPr>
      </w:pPr>
      <w:r>
        <w:rPr>
          <w:rFonts w:asciiTheme="majorHAnsi" w:hAnsiTheme="majorHAnsi" w:cs="Times New Roman"/>
          <w:sz w:val="24"/>
          <w:lang w:val="en-US"/>
        </w:rPr>
        <w:t xml:space="preserve">(Page 13): </w:t>
      </w:r>
      <w:r w:rsidRPr="00C75AF6">
        <w:rPr>
          <w:rFonts w:asciiTheme="majorHAnsi" w:hAnsiTheme="majorHAnsi" w:cs="Times New Roman"/>
          <w:sz w:val="24"/>
          <w:lang w:val="en-US"/>
        </w:rPr>
        <w:t>In all the large states, an overwhelming percentage (ranging from 70 percent to 80 percent) of females aged</w:t>
      </w:r>
      <w:r>
        <w:rPr>
          <w:rFonts w:asciiTheme="majorHAnsi" w:hAnsiTheme="majorHAnsi" w:cs="Times New Roman"/>
          <w:sz w:val="24"/>
          <w:lang w:val="en-US"/>
        </w:rPr>
        <w:t xml:space="preserve"> </w:t>
      </w:r>
      <w:r w:rsidRPr="00C75AF6">
        <w:rPr>
          <w:rFonts w:asciiTheme="majorHAnsi" w:hAnsiTheme="majorHAnsi" w:cs="Times New Roman"/>
          <w:sz w:val="24"/>
          <w:lang w:val="en-US"/>
        </w:rPr>
        <w:t xml:space="preserve">15-19 years </w:t>
      </w:r>
      <w:r w:rsidRPr="00C75AF6">
        <w:rPr>
          <w:rFonts w:asciiTheme="majorHAnsi" w:hAnsiTheme="majorHAnsi" w:cs="Times New Roman"/>
          <w:b/>
          <w:sz w:val="24"/>
          <w:lang w:val="en-US"/>
        </w:rPr>
        <w:t>are single</w:t>
      </w:r>
      <w:r w:rsidRPr="00C75AF6">
        <w:rPr>
          <w:rFonts w:asciiTheme="majorHAnsi" w:hAnsiTheme="majorHAnsi" w:cs="Times New Roman"/>
          <w:sz w:val="24"/>
          <w:lang w:val="en-US"/>
        </w:rPr>
        <w:t>; the percentage dips to 30-40 percent at ages 20-24 years, and slides further to 6-8</w:t>
      </w:r>
      <w:r>
        <w:rPr>
          <w:rFonts w:asciiTheme="majorHAnsi" w:hAnsiTheme="majorHAnsi" w:cs="Times New Roman"/>
          <w:sz w:val="24"/>
          <w:lang w:val="en-US"/>
        </w:rPr>
        <w:t xml:space="preserve"> </w:t>
      </w:r>
      <w:r w:rsidRPr="00C75AF6">
        <w:rPr>
          <w:rFonts w:asciiTheme="majorHAnsi" w:hAnsiTheme="majorHAnsi" w:cs="Times New Roman"/>
          <w:sz w:val="24"/>
          <w:lang w:val="en-US"/>
        </w:rPr>
        <w:t>percent in the next higher age interval, 25-29 years (see Annexure Table 1).</w:t>
      </w:r>
    </w:p>
    <w:p w:rsidR="00C75AF6" w:rsidRPr="008C2C98" w:rsidRDefault="00C75AF6" w:rsidP="00C75AF6">
      <w:pPr>
        <w:jc w:val="both"/>
        <w:rPr>
          <w:rFonts w:asciiTheme="majorHAnsi" w:hAnsiTheme="majorHAnsi" w:cs="Times New Roman"/>
          <w:sz w:val="24"/>
          <w:lang w:val="en-US"/>
        </w:rPr>
      </w:pPr>
      <w:r>
        <w:rPr>
          <w:rFonts w:asciiTheme="majorHAnsi" w:hAnsiTheme="majorHAnsi" w:cs="Times New Roman"/>
          <w:sz w:val="24"/>
          <w:lang w:val="en-US"/>
        </w:rPr>
        <w:t xml:space="preserve">(Page 15): </w:t>
      </w:r>
      <w:r w:rsidRPr="00C75AF6">
        <w:rPr>
          <w:rFonts w:asciiTheme="majorHAnsi" w:hAnsiTheme="majorHAnsi" w:cs="Times New Roman"/>
          <w:sz w:val="24"/>
          <w:lang w:val="en-US"/>
        </w:rPr>
        <w:t>Analyses of the DLHS data show that about 30 percent</w:t>
      </w:r>
      <w:r>
        <w:rPr>
          <w:rFonts w:asciiTheme="majorHAnsi" w:hAnsiTheme="majorHAnsi" w:cs="Times New Roman"/>
          <w:sz w:val="24"/>
          <w:lang w:val="en-US"/>
        </w:rPr>
        <w:t xml:space="preserve"> </w:t>
      </w:r>
      <w:r w:rsidRPr="00C75AF6">
        <w:rPr>
          <w:rFonts w:asciiTheme="majorHAnsi" w:hAnsiTheme="majorHAnsi" w:cs="Times New Roman"/>
          <w:sz w:val="24"/>
          <w:lang w:val="en-US"/>
        </w:rPr>
        <w:t xml:space="preserve">of </w:t>
      </w:r>
      <w:r w:rsidRPr="00C75AF6">
        <w:rPr>
          <w:rFonts w:asciiTheme="majorHAnsi" w:hAnsiTheme="majorHAnsi" w:cs="Times New Roman"/>
          <w:b/>
          <w:sz w:val="24"/>
          <w:lang w:val="en-US"/>
        </w:rPr>
        <w:t>currently married females under the age of 18 have experienced a live birth</w:t>
      </w:r>
      <w:r w:rsidRPr="00C75AF6">
        <w:rPr>
          <w:rFonts w:asciiTheme="majorHAnsi" w:hAnsiTheme="majorHAnsi" w:cs="Times New Roman"/>
          <w:sz w:val="24"/>
          <w:lang w:val="en-US"/>
        </w:rPr>
        <w:t>; this figure ranges from as high</w:t>
      </w:r>
      <w:r>
        <w:rPr>
          <w:rFonts w:asciiTheme="majorHAnsi" w:hAnsiTheme="majorHAnsi" w:cs="Times New Roman"/>
          <w:sz w:val="24"/>
          <w:lang w:val="en-US"/>
        </w:rPr>
        <w:t xml:space="preserve"> </w:t>
      </w:r>
      <w:r w:rsidRPr="00C75AF6">
        <w:rPr>
          <w:rFonts w:asciiTheme="majorHAnsi" w:hAnsiTheme="majorHAnsi" w:cs="Times New Roman"/>
          <w:sz w:val="24"/>
          <w:lang w:val="en-US"/>
        </w:rPr>
        <w:t>as 43 percent in Karnataka to as low as 15 percent in Rajasthan (see Figure 1).</w:t>
      </w:r>
    </w:p>
    <w:p w:rsidR="00BB3799" w:rsidRDefault="00912401" w:rsidP="008C2C98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sz w:val="24"/>
          <w:lang w:val="es-ES"/>
        </w:rPr>
        <w:t xml:space="preserve">(Pág. 15): </w:t>
      </w:r>
      <w:proofErr w:type="spellStart"/>
      <w:r>
        <w:rPr>
          <w:rFonts w:asciiTheme="majorHAnsi" w:hAnsiTheme="majorHAnsi" w:cs="Times New Roman"/>
          <w:sz w:val="24"/>
          <w:lang w:val="es-ES"/>
        </w:rPr>
        <w:t>Maharashtra</w:t>
      </w:r>
      <w:proofErr w:type="spellEnd"/>
      <w:r>
        <w:rPr>
          <w:rFonts w:asciiTheme="majorHAnsi" w:hAnsiTheme="majorHAnsi" w:cs="Times New Roman"/>
          <w:sz w:val="24"/>
          <w:lang w:val="es-ES"/>
        </w:rPr>
        <w:t xml:space="preserve"> </w:t>
      </w:r>
      <w:r w:rsidRPr="00912401">
        <w:rPr>
          <w:rFonts w:asciiTheme="majorHAnsi" w:hAnsiTheme="majorHAnsi" w:cs="Times New Roman"/>
          <w:sz w:val="24"/>
          <w:lang w:val="es-ES"/>
        </w:rPr>
        <w:sym w:font="Wingdings" w:char="F0E0"/>
      </w:r>
      <w:r>
        <w:rPr>
          <w:rFonts w:asciiTheme="majorHAnsi" w:hAnsiTheme="majorHAnsi" w:cs="Times New Roman"/>
          <w:sz w:val="24"/>
          <w:lang w:val="es-ES"/>
        </w:rPr>
        <w:t xml:space="preserve"> 31,4% de las mujeres de 18 años o menos </w:t>
      </w:r>
      <w:r w:rsidR="008C2C98">
        <w:rPr>
          <w:rFonts w:asciiTheme="majorHAnsi" w:hAnsiTheme="majorHAnsi" w:cs="Times New Roman"/>
          <w:sz w:val="24"/>
          <w:lang w:val="es-ES"/>
        </w:rPr>
        <w:t>que ya están casadas, han dado a luz</w:t>
      </w:r>
      <w:r>
        <w:rPr>
          <w:rFonts w:asciiTheme="majorHAnsi" w:hAnsiTheme="majorHAnsi" w:cs="Times New Roman"/>
          <w:sz w:val="24"/>
          <w:lang w:val="es-ES"/>
        </w:rPr>
        <w:t xml:space="preserve">. </w:t>
      </w:r>
    </w:p>
    <w:p w:rsidR="008C2C98" w:rsidRDefault="00390AD3" w:rsidP="008C2C98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sz w:val="24"/>
          <w:lang w:val="es-ES"/>
        </w:rPr>
        <w:t>Páginas 19 y 20: comparativa entre zonas urbanas y zonas rurales.</w:t>
      </w:r>
    </w:p>
    <w:p w:rsidR="00390AD3" w:rsidRDefault="000D4324" w:rsidP="008C2C98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noProof/>
          <w:sz w:val="24"/>
          <w:lang w:val="es-ES" w:eastAsia="es-ES"/>
        </w:rPr>
        <w:drawing>
          <wp:inline distT="0" distB="0" distL="0" distR="0">
            <wp:extent cx="5391150" cy="3568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324" w:rsidRDefault="000D4324" w:rsidP="008C2C98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noProof/>
          <w:sz w:val="24"/>
          <w:lang w:val="es-ES" w:eastAsia="es-ES"/>
        </w:rPr>
        <w:lastRenderedPageBreak/>
        <w:drawing>
          <wp:inline distT="0" distB="0" distL="0" distR="0">
            <wp:extent cx="5391150" cy="3568700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814" w:rsidRDefault="00903814" w:rsidP="000D4324">
      <w:pPr>
        <w:jc w:val="both"/>
        <w:rPr>
          <w:rFonts w:asciiTheme="majorHAnsi" w:hAnsiTheme="majorHAnsi" w:cs="Times New Roman"/>
          <w:b/>
          <w:sz w:val="24"/>
          <w:lang w:val="es-ES"/>
        </w:rPr>
      </w:pPr>
      <w:r>
        <w:rPr>
          <w:rFonts w:asciiTheme="majorHAnsi" w:hAnsiTheme="majorHAnsi" w:cs="Times New Roman"/>
          <w:b/>
          <w:noProof/>
          <w:sz w:val="24"/>
          <w:lang w:val="es-ES" w:eastAsia="es-ES"/>
        </w:rPr>
        <w:drawing>
          <wp:inline distT="0" distB="0" distL="0" distR="0">
            <wp:extent cx="4552950" cy="5145904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040" cy="5151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324" w:rsidRPr="00BB3799" w:rsidRDefault="000D4324" w:rsidP="000D4324">
      <w:pPr>
        <w:jc w:val="both"/>
        <w:rPr>
          <w:rFonts w:asciiTheme="majorHAnsi" w:hAnsiTheme="majorHAnsi" w:cs="Times New Roman"/>
          <w:b/>
          <w:sz w:val="24"/>
          <w:lang w:val="es-ES"/>
        </w:rPr>
      </w:pPr>
      <w:r w:rsidRPr="00BB3799">
        <w:rPr>
          <w:rFonts w:asciiTheme="majorHAnsi" w:hAnsiTheme="majorHAnsi" w:cs="Times New Roman"/>
          <w:b/>
          <w:sz w:val="24"/>
          <w:lang w:val="es-ES"/>
        </w:rPr>
        <w:lastRenderedPageBreak/>
        <w:t xml:space="preserve">Datos muy importantes acerca </w:t>
      </w:r>
      <w:r>
        <w:rPr>
          <w:rFonts w:asciiTheme="majorHAnsi" w:hAnsiTheme="majorHAnsi" w:cs="Times New Roman"/>
          <w:b/>
          <w:sz w:val="24"/>
          <w:lang w:val="es-ES"/>
        </w:rPr>
        <w:t xml:space="preserve">de la violencia de género y machismo en la India en </w:t>
      </w:r>
      <w:hyperlink r:id="rId12" w:history="1">
        <w:r w:rsidRPr="000D4324">
          <w:rPr>
            <w:rStyle w:val="Hipervnculo"/>
            <w:rFonts w:asciiTheme="majorHAnsi" w:hAnsiTheme="majorHAnsi" w:cs="Times New Roman"/>
            <w:b/>
            <w:sz w:val="24"/>
            <w:lang w:val="es-ES"/>
          </w:rPr>
          <w:t>IMPORTANT_Masculinity-Book_Inside_final_6th-Nov.pdf</w:t>
        </w:r>
      </w:hyperlink>
    </w:p>
    <w:p w:rsidR="000D4324" w:rsidRPr="000D4324" w:rsidRDefault="000D4324">
      <w:pPr>
        <w:jc w:val="both"/>
        <w:rPr>
          <w:rFonts w:asciiTheme="majorHAnsi" w:hAnsiTheme="majorHAnsi" w:cs="Times New Roman"/>
          <w:b/>
          <w:sz w:val="24"/>
          <w:lang w:val="es-ES"/>
        </w:rPr>
      </w:pPr>
      <w:r w:rsidRPr="000D4324">
        <w:rPr>
          <w:rFonts w:asciiTheme="majorHAnsi" w:hAnsiTheme="majorHAnsi" w:cs="Times New Roman"/>
          <w:b/>
          <w:sz w:val="24"/>
          <w:lang w:val="es-ES"/>
        </w:rPr>
        <w:t xml:space="preserve">Datos generales sobre las niñas en </w:t>
      </w:r>
      <w:hyperlink r:id="rId13" w:history="1">
        <w:r w:rsidRPr="000D4324">
          <w:rPr>
            <w:rStyle w:val="Hipervnculo"/>
            <w:rFonts w:asciiTheme="majorHAnsi" w:hAnsiTheme="majorHAnsi" w:cs="Times New Roman"/>
            <w:b/>
            <w:sz w:val="24"/>
            <w:lang w:val="es-ES"/>
          </w:rPr>
          <w:t>IMPORTANT_Protecting_the_Girl_Child_SP.pdf</w:t>
        </w:r>
      </w:hyperlink>
    </w:p>
    <w:p w:rsidR="008C2C98" w:rsidRDefault="00BB7E6B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sz w:val="24"/>
          <w:lang w:val="es-ES"/>
        </w:rPr>
        <w:t xml:space="preserve">(Pág. 18): </w:t>
      </w:r>
      <w:r w:rsidR="000D4324" w:rsidRPr="000D4324">
        <w:rPr>
          <w:rFonts w:asciiTheme="majorHAnsi" w:hAnsiTheme="majorHAnsi" w:cs="Times New Roman"/>
          <w:sz w:val="24"/>
          <w:lang w:val="es-ES"/>
        </w:rPr>
        <w:t>Según el Fondo de Población de las Naciones Unidas (FNUAP), el 47% de las chicas en India se casan antes de cumplir la edad mínima legal de 18 años</w:t>
      </w:r>
      <w:r w:rsidR="002D21E5">
        <w:rPr>
          <w:rFonts w:asciiTheme="majorHAnsi" w:hAnsiTheme="majorHAnsi" w:cs="Times New Roman"/>
          <w:sz w:val="24"/>
          <w:lang w:val="es-ES"/>
        </w:rPr>
        <w:t>.</w:t>
      </w:r>
    </w:p>
    <w:p w:rsidR="002D21E5" w:rsidRDefault="002D21E5">
      <w:pPr>
        <w:jc w:val="both"/>
        <w:rPr>
          <w:rFonts w:asciiTheme="majorHAnsi" w:hAnsiTheme="majorHAnsi" w:cs="Times New Roman"/>
          <w:sz w:val="24"/>
          <w:lang w:val="es-ES"/>
        </w:rPr>
      </w:pPr>
      <w:r>
        <w:rPr>
          <w:rFonts w:asciiTheme="majorHAnsi" w:hAnsiTheme="majorHAnsi" w:cs="Times New Roman"/>
          <w:sz w:val="24"/>
          <w:lang w:val="es-ES"/>
        </w:rPr>
        <w:t xml:space="preserve">(Pág. 20): </w:t>
      </w:r>
      <w:r w:rsidRPr="002D21E5">
        <w:rPr>
          <w:rFonts w:asciiTheme="majorHAnsi" w:hAnsiTheme="majorHAnsi" w:cs="Times New Roman"/>
          <w:sz w:val="24"/>
          <w:lang w:val="es-ES"/>
        </w:rPr>
        <w:t xml:space="preserve">En India, por ejemplo, aunque la inmensa mayoría de los matrimonios de niñas no se denuncian, ha habido </w:t>
      </w:r>
      <w:r w:rsidRPr="002D21E5">
        <w:rPr>
          <w:rFonts w:asciiTheme="majorHAnsi" w:hAnsiTheme="majorHAnsi" w:cs="Times New Roman"/>
          <w:b/>
          <w:sz w:val="24"/>
          <w:lang w:val="es-ES"/>
        </w:rPr>
        <w:t>algunos casos denunciados por violar la ley que prohíbe los matrimonios infantiles</w:t>
      </w:r>
      <w:r w:rsidRPr="002D21E5">
        <w:rPr>
          <w:rFonts w:asciiTheme="majorHAnsi" w:hAnsiTheme="majorHAnsi" w:cs="Times New Roman"/>
          <w:sz w:val="24"/>
          <w:lang w:val="es-ES"/>
        </w:rPr>
        <w:t>. En algunos de ellos se han iniciado procesos penales en los que los demandados son el esposo adulto o, con menos frecuencia, la familia de la menor (el padre, el tío o los hermanos). En 2010, de los 111 casos denunciados conforme a la ley del matrimonio infantil, solamente en 11 fueron condenados los culpables.</w:t>
      </w:r>
    </w:p>
    <w:p w:rsidR="00903814" w:rsidRPr="008C2C98" w:rsidRDefault="00903814">
      <w:pPr>
        <w:jc w:val="both"/>
        <w:rPr>
          <w:rFonts w:asciiTheme="majorHAnsi" w:hAnsiTheme="majorHAnsi" w:cs="Times New Roman"/>
          <w:sz w:val="24"/>
          <w:lang w:val="es-ES"/>
        </w:rPr>
      </w:pPr>
    </w:p>
    <w:sectPr w:rsidR="00903814" w:rsidRPr="008C2C98" w:rsidSect="00547F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10F72"/>
    <w:rsid w:val="000265BA"/>
    <w:rsid w:val="000B60F1"/>
    <w:rsid w:val="000D4324"/>
    <w:rsid w:val="00121034"/>
    <w:rsid w:val="00172F17"/>
    <w:rsid w:val="00210F72"/>
    <w:rsid w:val="002155F8"/>
    <w:rsid w:val="00293DB8"/>
    <w:rsid w:val="002D21E5"/>
    <w:rsid w:val="00390AD3"/>
    <w:rsid w:val="00437F39"/>
    <w:rsid w:val="00440C1F"/>
    <w:rsid w:val="00547F46"/>
    <w:rsid w:val="005A1BCA"/>
    <w:rsid w:val="00850C50"/>
    <w:rsid w:val="00854FBA"/>
    <w:rsid w:val="008C2C98"/>
    <w:rsid w:val="00903814"/>
    <w:rsid w:val="00912401"/>
    <w:rsid w:val="009467F4"/>
    <w:rsid w:val="009C15B2"/>
    <w:rsid w:val="00A3273A"/>
    <w:rsid w:val="00A72F1F"/>
    <w:rsid w:val="00BB3799"/>
    <w:rsid w:val="00BB7E6B"/>
    <w:rsid w:val="00C028D6"/>
    <w:rsid w:val="00C71245"/>
    <w:rsid w:val="00C73BAE"/>
    <w:rsid w:val="00C75AF6"/>
    <w:rsid w:val="00CD22A5"/>
    <w:rsid w:val="00FF3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F46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0F7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324"/>
    <w:rPr>
      <w:rFonts w:ascii="Tahoma" w:hAnsi="Tahoma" w:cs="Tahoma"/>
      <w:sz w:val="16"/>
      <w:szCs w:val="16"/>
      <w:lang w:val="ca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90381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MPORTANT_District-level-study-on-Child-Marriage-in-India.pdf" TargetMode="External"/><Relationship Id="rId13" Type="http://schemas.openxmlformats.org/officeDocument/2006/relationships/hyperlink" Target="IMPORTANT_Protecting_the_Girl_Child_SP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texto_mujeres_desigualdades_de_genero_en_la_india.pdf" TargetMode="External"/><Relationship Id="rId12" Type="http://schemas.openxmlformats.org/officeDocument/2006/relationships/hyperlink" Target="IMPORTANT_Masculinity-Book_Inside_final_6th-Nov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Los%20derechos%20de%20la%20infancia%20en%20la%20India%20-%20Unicef.pdf" TargetMode="External"/><Relationship Id="rId11" Type="http://schemas.openxmlformats.org/officeDocument/2006/relationships/image" Target="media/image3.png"/><Relationship Id="rId5" Type="http://schemas.openxmlformats.org/officeDocument/2006/relationships/hyperlink" Target="Informe_Mundial_Sobre_Violencia.pdf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hyperlink" Target="https://www.icrw.org/publications/?searchQuery=india" TargetMode="Externa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750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Voluntaries</dc:creator>
  <cp:keywords/>
  <dc:description/>
  <cp:lastModifiedBy>sonrisas</cp:lastModifiedBy>
  <cp:revision>18</cp:revision>
  <dcterms:created xsi:type="dcterms:W3CDTF">2017-05-25T13:03:00Z</dcterms:created>
  <dcterms:modified xsi:type="dcterms:W3CDTF">2017-06-01T14:15:00Z</dcterms:modified>
</cp:coreProperties>
</file>